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hint="eastAsia" w:ascii="方正小标宋简体" w:eastAsia="方正小标宋简体"/>
          <w:sz w:val="44"/>
          <w:szCs w:val="44"/>
          <w:lang w:val="en-US" w:eastAsia="zh-CN"/>
        </w:rPr>
      </w:pPr>
      <w:r>
        <w:rPr>
          <w:rFonts w:hint="eastAsia" w:ascii="方正小标宋简体" w:eastAsia="方正小标宋简体"/>
          <w:sz w:val="44"/>
          <w:szCs w:val="44"/>
        </w:rPr>
        <w:t>服务质量监督管理</w:t>
      </w:r>
      <w:r>
        <w:rPr>
          <w:rFonts w:hint="eastAsia" w:ascii="方正小标宋简体" w:eastAsia="方正小标宋简体"/>
          <w:sz w:val="44"/>
          <w:szCs w:val="44"/>
          <w:lang w:val="en-US" w:eastAsia="zh-CN"/>
        </w:rPr>
        <w:t>办法</w:t>
      </w:r>
    </w:p>
    <w:p>
      <w:pPr>
        <w:spacing w:line="580" w:lineRule="exact"/>
        <w:jc w:val="center"/>
        <w:rPr>
          <w:rFonts w:ascii="方正小标宋简体" w:eastAsia="方正小标宋简体"/>
          <w:sz w:val="44"/>
          <w:szCs w:val="44"/>
        </w:rPr>
      </w:pPr>
    </w:p>
    <w:p>
      <w:pPr>
        <w:spacing w:line="360" w:lineRule="auto"/>
        <w:ind w:firstLine="560" w:firstLineChars="200"/>
        <w:rPr>
          <w:rFonts w:ascii="仿宋_GB2312" w:hAnsi="宋体" w:eastAsia="仿宋_GB2312" w:cs="Times New Roman"/>
          <w:b/>
          <w:bCs/>
          <w:sz w:val="28"/>
          <w:szCs w:val="28"/>
        </w:rPr>
      </w:pPr>
      <w:r>
        <w:rPr>
          <w:rFonts w:hint="eastAsia" w:ascii="仿宋_GB2312" w:hAnsi="Calibri" w:eastAsia="仿宋_GB2312" w:cs="Times New Roman"/>
          <w:sz w:val="28"/>
          <w:szCs w:val="28"/>
        </w:rPr>
        <w:t>为促进诸暨市</w:t>
      </w:r>
      <w:r>
        <w:rPr>
          <w:rFonts w:hint="eastAsia" w:ascii="仿宋_GB2312" w:hAnsi="Calibri" w:eastAsia="仿宋_GB2312" w:cs="Times New Roman"/>
          <w:sz w:val="28"/>
          <w:szCs w:val="28"/>
          <w:lang w:val="en-US" w:eastAsia="zh-CN"/>
        </w:rPr>
        <w:t>袜业</w:t>
      </w:r>
      <w:r>
        <w:rPr>
          <w:rFonts w:hint="eastAsia" w:ascii="仿宋_GB2312" w:hAnsi="Calibri" w:eastAsia="仿宋_GB2312" w:cs="Times New Roman"/>
          <w:sz w:val="28"/>
          <w:szCs w:val="28"/>
        </w:rPr>
        <w:t>产业质量基础设施“一站式”服务事业健康、快速发展，充分发挥质量基础设施效能，维护</w:t>
      </w:r>
      <w:r>
        <w:rPr>
          <w:rFonts w:hint="eastAsia" w:ascii="仿宋_GB2312" w:hAnsi="Calibri" w:eastAsia="仿宋_GB2312" w:cs="Times New Roman"/>
          <w:sz w:val="28"/>
          <w:szCs w:val="28"/>
          <w:lang w:eastAsia="zh-CN"/>
        </w:rPr>
        <w:t>“</w:t>
      </w:r>
      <w:r>
        <w:rPr>
          <w:rFonts w:hint="eastAsia" w:ascii="仿宋_GB2312" w:hAnsi="Calibri" w:eastAsia="仿宋_GB2312" w:cs="Times New Roman"/>
          <w:sz w:val="28"/>
          <w:szCs w:val="28"/>
          <w:lang w:val="en-US" w:eastAsia="zh-CN"/>
        </w:rPr>
        <w:t>一站式”服务</w:t>
      </w:r>
      <w:r>
        <w:rPr>
          <w:rFonts w:hint="eastAsia" w:ascii="仿宋_GB2312" w:hAnsi="Calibri" w:eastAsia="仿宋_GB2312" w:cs="Times New Roman"/>
          <w:sz w:val="28"/>
          <w:szCs w:val="28"/>
        </w:rPr>
        <w:t>平台</w:t>
      </w:r>
      <w:r>
        <w:rPr>
          <w:rFonts w:hint="eastAsia" w:ascii="仿宋_GB2312" w:hAnsi="Calibri" w:eastAsia="仿宋_GB2312" w:cs="Times New Roman"/>
          <w:sz w:val="28"/>
          <w:szCs w:val="28"/>
          <w:lang w:eastAsia="zh-CN"/>
        </w:rPr>
        <w:t>（</w:t>
      </w:r>
      <w:r>
        <w:rPr>
          <w:rFonts w:hint="eastAsia" w:ascii="仿宋_GB2312" w:hAnsi="Calibri" w:eastAsia="仿宋_GB2312" w:cs="Times New Roman"/>
          <w:sz w:val="28"/>
          <w:szCs w:val="28"/>
          <w:lang w:val="en-US" w:eastAsia="zh-CN"/>
        </w:rPr>
        <w:t>以下简称“平台”）</w:t>
      </w:r>
      <w:r>
        <w:rPr>
          <w:rFonts w:hint="eastAsia" w:ascii="仿宋_GB2312" w:hAnsi="Calibri" w:eastAsia="仿宋_GB2312" w:cs="Times New Roman"/>
          <w:sz w:val="28"/>
          <w:szCs w:val="28"/>
        </w:rPr>
        <w:t>服务对象的合法权益，加强对平台服务质量的监督管理，制定本办法</w:t>
      </w:r>
      <w:r>
        <w:rPr>
          <w:rFonts w:hint="eastAsia" w:ascii="仿宋_GB2312" w:hAnsi="Calibri" w:eastAsia="仿宋_GB2312" w:cs="Times New Roman"/>
          <w:sz w:val="28"/>
          <w:szCs w:val="28"/>
          <w:lang w:eastAsia="zh-CN"/>
        </w:rPr>
        <w:t>。</w:t>
      </w:r>
      <w:r>
        <w:rPr>
          <w:rFonts w:hint="eastAsia" w:ascii="仿宋_GB2312" w:hAnsi="宋体" w:eastAsia="仿宋_GB2312" w:cs="Times New Roman"/>
          <w:sz w:val="28"/>
          <w:szCs w:val="28"/>
        </w:rPr>
        <w:t>本办法适用于平台</w:t>
      </w:r>
      <w:r>
        <w:rPr>
          <w:rFonts w:hint="eastAsia" w:ascii="仿宋_GB2312" w:hAnsi="宋体" w:eastAsia="仿宋_GB2312" w:cs="Times New Roman"/>
          <w:sz w:val="28"/>
          <w:szCs w:val="28"/>
          <w:lang w:val="en-US" w:eastAsia="zh-CN"/>
        </w:rPr>
        <w:t>工作人员、服务</w:t>
      </w:r>
      <w:r>
        <w:rPr>
          <w:rFonts w:hint="eastAsia" w:ascii="仿宋_GB2312" w:hAnsi="宋体" w:eastAsia="仿宋_GB2312" w:cs="Times New Roman"/>
          <w:sz w:val="28"/>
          <w:szCs w:val="28"/>
        </w:rPr>
        <w:t>机构</w:t>
      </w:r>
      <w:r>
        <w:rPr>
          <w:rFonts w:hint="eastAsia" w:ascii="仿宋_GB2312" w:hAnsi="宋体" w:eastAsia="仿宋_GB2312" w:cs="Times New Roman"/>
          <w:sz w:val="28"/>
          <w:szCs w:val="28"/>
          <w:lang w:val="en-US" w:eastAsia="zh-CN"/>
        </w:rPr>
        <w:t>和服务专家</w:t>
      </w:r>
      <w:r>
        <w:rPr>
          <w:rFonts w:hint="eastAsia" w:ascii="仿宋_GB2312" w:hAnsi="宋体" w:eastAsia="仿宋_GB2312" w:cs="Times New Roman"/>
          <w:sz w:val="28"/>
          <w:szCs w:val="28"/>
        </w:rPr>
        <w:t>。</w:t>
      </w:r>
    </w:p>
    <w:p>
      <w:pPr>
        <w:spacing w:line="360" w:lineRule="auto"/>
        <w:ind w:firstLine="560" w:firstLineChars="200"/>
        <w:rPr>
          <w:rFonts w:hint="eastAsia" w:ascii="仿宋_GB2312" w:hAnsi="宋体" w:eastAsia="仿宋_GB2312"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一</w:t>
      </w:r>
      <w:r>
        <w:rPr>
          <w:rFonts w:hint="eastAsia" w:ascii="黑体" w:hAnsi="黑体" w:eastAsia="黑体" w:cs="Times New Roman"/>
          <w:sz w:val="28"/>
          <w:szCs w:val="28"/>
        </w:rPr>
        <w:t>条</w:t>
      </w:r>
      <w:r>
        <w:rPr>
          <w:rFonts w:hint="eastAsia" w:ascii="仿宋_GB2312" w:hAnsi="宋体" w:eastAsia="仿宋_GB2312" w:cs="Times New Roman"/>
          <w:sz w:val="28"/>
          <w:szCs w:val="28"/>
        </w:rPr>
        <w:t xml:space="preserve"> 平台</w:t>
      </w:r>
      <w:r>
        <w:rPr>
          <w:rFonts w:hint="eastAsia" w:ascii="仿宋_GB2312" w:hAnsi="宋体" w:eastAsia="仿宋_GB2312" w:cs="Times New Roman"/>
          <w:sz w:val="28"/>
          <w:szCs w:val="28"/>
          <w:lang w:val="en-US" w:eastAsia="zh-CN"/>
        </w:rPr>
        <w:t>专班</w:t>
      </w:r>
      <w:r>
        <w:rPr>
          <w:rFonts w:hint="eastAsia" w:ascii="仿宋_GB2312" w:hAnsi="宋体" w:eastAsia="仿宋_GB2312" w:cs="Times New Roman"/>
          <w:sz w:val="28"/>
          <w:szCs w:val="28"/>
        </w:rPr>
        <w:t>根据相关法律法规、制度对</w:t>
      </w:r>
      <w:r>
        <w:rPr>
          <w:rFonts w:hint="eastAsia" w:ascii="仿宋_GB2312" w:hAnsi="宋体" w:eastAsia="仿宋_GB2312" w:cs="Times New Roman"/>
          <w:sz w:val="28"/>
          <w:szCs w:val="28"/>
          <w:lang w:val="en-US" w:eastAsia="zh-CN"/>
        </w:rPr>
        <w:t>平台工作人员、服务</w:t>
      </w:r>
      <w:r>
        <w:rPr>
          <w:rFonts w:hint="eastAsia" w:ascii="仿宋_GB2312" w:hAnsi="宋体" w:eastAsia="仿宋_GB2312" w:cs="Times New Roman"/>
          <w:sz w:val="28"/>
          <w:szCs w:val="28"/>
        </w:rPr>
        <w:t>机构</w:t>
      </w:r>
      <w:r>
        <w:rPr>
          <w:rFonts w:hint="eastAsia" w:ascii="仿宋_GB2312" w:hAnsi="宋体" w:eastAsia="仿宋_GB2312" w:cs="Times New Roman"/>
          <w:sz w:val="28"/>
          <w:szCs w:val="28"/>
          <w:lang w:val="en-US" w:eastAsia="zh-CN"/>
        </w:rPr>
        <w:t>和服务专家</w:t>
      </w:r>
      <w:r>
        <w:rPr>
          <w:rFonts w:hint="eastAsia" w:ascii="仿宋_GB2312" w:hAnsi="宋体" w:eastAsia="仿宋_GB2312" w:cs="Times New Roman"/>
          <w:sz w:val="28"/>
          <w:szCs w:val="28"/>
        </w:rPr>
        <w:t>提供的服务质量进行监督管理。</w:t>
      </w:r>
    </w:p>
    <w:p>
      <w:pPr>
        <w:spacing w:line="360" w:lineRule="auto"/>
        <w:ind w:firstLine="560" w:firstLineChars="200"/>
        <w:rPr>
          <w:rFonts w:ascii="仿宋_GB2312" w:hAnsi="宋体" w:eastAsia="仿宋_GB2312"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rPr>
        <w:t>条</w:t>
      </w:r>
      <w:r>
        <w:rPr>
          <w:rFonts w:hint="eastAsia" w:ascii="仿宋_GB2312" w:hAnsi="宋体" w:eastAsia="仿宋_GB2312" w:cs="Times New Roman"/>
          <w:sz w:val="28"/>
          <w:szCs w:val="28"/>
        </w:rPr>
        <w:t xml:space="preserve"> 服务质量监督管理工作遵循公平、公正、公开的原则，实行政府监管、企业自律、社会监督相结合的机制。</w:t>
      </w:r>
    </w:p>
    <w:p>
      <w:pPr>
        <w:spacing w:line="360" w:lineRule="auto"/>
        <w:ind w:firstLine="560" w:firstLineChars="200"/>
        <w:rPr>
          <w:rFonts w:hint="eastAsia" w:ascii="仿宋_GB2312" w:hAnsi="宋体" w:eastAsia="仿宋_GB2312"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三</w:t>
      </w:r>
      <w:r>
        <w:rPr>
          <w:rFonts w:hint="eastAsia" w:ascii="黑体" w:hAnsi="黑体" w:eastAsia="黑体" w:cs="Times New Roman"/>
          <w:sz w:val="28"/>
          <w:szCs w:val="28"/>
        </w:rPr>
        <w:t xml:space="preserve">条 </w:t>
      </w:r>
      <w:r>
        <w:rPr>
          <w:rFonts w:hint="eastAsia" w:ascii="仿宋_GB2312" w:hAnsi="宋体" w:eastAsia="仿宋_GB2312" w:cs="Times New Roman"/>
          <w:sz w:val="28"/>
          <w:szCs w:val="28"/>
        </w:rPr>
        <w:t>平台服务质量监督管理工作职责包括：</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（一）制定服务质量有关标准、管理办法并监督实施；</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（二）组织服务对象对平台服务质量进行评价，实时掌握服务动态；</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（三）纠正和查处平台服务中的质量问题，并对处理决定的执行情况进行监督，对违规</w:t>
      </w:r>
      <w:r>
        <w:rPr>
          <w:rFonts w:hint="eastAsia" w:ascii="仿宋_GB2312" w:hAnsi="宋体" w:eastAsia="仿宋_GB2312" w:cs="Times New Roman"/>
          <w:sz w:val="28"/>
          <w:szCs w:val="28"/>
          <w:lang w:val="en-US" w:eastAsia="zh-CN"/>
        </w:rPr>
        <w:t>的工作人员、</w:t>
      </w:r>
      <w:r>
        <w:rPr>
          <w:rFonts w:hint="eastAsia" w:ascii="仿宋_GB2312" w:hAnsi="宋体" w:eastAsia="仿宋_GB2312" w:cs="Times New Roman"/>
          <w:sz w:val="28"/>
          <w:szCs w:val="28"/>
        </w:rPr>
        <w:t>机构</w:t>
      </w:r>
      <w:r>
        <w:rPr>
          <w:rFonts w:hint="eastAsia" w:ascii="仿宋_GB2312" w:hAnsi="宋体" w:eastAsia="仿宋_GB2312" w:cs="Times New Roman"/>
          <w:sz w:val="28"/>
          <w:szCs w:val="28"/>
          <w:lang w:val="en-US" w:eastAsia="zh-CN"/>
        </w:rPr>
        <w:t>和专家实施</w:t>
      </w:r>
      <w:r>
        <w:rPr>
          <w:rFonts w:hint="eastAsia" w:ascii="仿宋_GB2312" w:hAnsi="宋体" w:eastAsia="仿宋_GB2312" w:cs="Times New Roman"/>
          <w:sz w:val="28"/>
          <w:szCs w:val="28"/>
        </w:rPr>
        <w:t>处罚</w:t>
      </w:r>
      <w:r>
        <w:rPr>
          <w:rFonts w:hint="eastAsia" w:ascii="仿宋_GB2312" w:hAnsi="宋体" w:eastAsia="仿宋_GB2312" w:cs="Times New Roman"/>
          <w:sz w:val="28"/>
          <w:szCs w:val="28"/>
          <w:lang w:eastAsia="zh-CN"/>
        </w:rPr>
        <w:t>。</w:t>
      </w:r>
      <w:r>
        <w:rPr>
          <w:rFonts w:hint="eastAsia" w:ascii="仿宋_GB2312" w:hAnsi="宋体" w:eastAsia="仿宋_GB2312" w:cs="Times New Roman"/>
          <w:sz w:val="28"/>
          <w:szCs w:val="28"/>
        </w:rPr>
        <w:t>对重大的质量事故进行调查、了解，并向社会公布重大服务质量事件的处理过程和结果；</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（四）负责对有关服务质量事件的调查和争议的调解。</w:t>
      </w:r>
    </w:p>
    <w:p>
      <w:pPr>
        <w:spacing w:line="360" w:lineRule="auto"/>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四</w:t>
      </w:r>
      <w:r>
        <w:rPr>
          <w:rFonts w:hint="eastAsia" w:ascii="黑体" w:hAnsi="黑体" w:eastAsia="黑体" w:cs="Times New Roman"/>
          <w:sz w:val="28"/>
          <w:szCs w:val="28"/>
        </w:rPr>
        <w:t xml:space="preserve">条 </w:t>
      </w:r>
      <w:r>
        <w:rPr>
          <w:rFonts w:hint="eastAsia" w:ascii="仿宋_GB2312" w:hAnsi="宋体" w:eastAsia="仿宋_GB2312" w:cs="Times New Roman"/>
          <w:sz w:val="28"/>
          <w:szCs w:val="28"/>
          <w:lang w:val="en-US" w:eastAsia="zh-CN"/>
        </w:rPr>
        <w:t>每月应至少</w:t>
      </w:r>
      <w:r>
        <w:rPr>
          <w:rFonts w:hint="eastAsia" w:ascii="仿宋_GB2312" w:hAnsi="宋体" w:eastAsia="仿宋_GB2312" w:cs="Times New Roman"/>
          <w:sz w:val="28"/>
          <w:szCs w:val="28"/>
        </w:rPr>
        <w:t>开展</w:t>
      </w:r>
      <w:r>
        <w:rPr>
          <w:rFonts w:hint="eastAsia" w:ascii="仿宋_GB2312" w:hAnsi="宋体" w:eastAsia="仿宋_GB2312" w:cs="Times New Roman"/>
          <w:sz w:val="28"/>
          <w:szCs w:val="28"/>
          <w:lang w:val="en-US" w:eastAsia="zh-CN"/>
        </w:rPr>
        <w:t>两</w:t>
      </w:r>
      <w:r>
        <w:rPr>
          <w:rFonts w:hint="eastAsia" w:ascii="仿宋_GB2312" w:hAnsi="宋体" w:eastAsia="仿宋_GB2312" w:cs="Times New Roman"/>
          <w:sz w:val="28"/>
          <w:szCs w:val="28"/>
        </w:rPr>
        <w:t>次服务质量监督检查，检查内容包括但不限于：</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（一）信息公开展示的完整、及时情况；</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（二）服务流程规范情况；</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（三）服务方案的规范情况；</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（四）咨询响应及离线回复情况；</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（五）服务人员服务能力情况；</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（六）服务对象投诉及反馈处理情况。</w:t>
      </w:r>
    </w:p>
    <w:p>
      <w:pPr>
        <w:spacing w:line="360" w:lineRule="auto"/>
        <w:ind w:firstLine="560" w:firstLineChars="200"/>
        <w:rPr>
          <w:rFonts w:ascii="仿宋_GB2312" w:hAnsi="宋体" w:eastAsia="仿宋_GB2312" w:cs="Times New Roman"/>
          <w:sz w:val="28"/>
          <w:szCs w:val="28"/>
        </w:rPr>
      </w:pPr>
      <w:r>
        <w:rPr>
          <w:rFonts w:hint="eastAsia" w:ascii="黑体" w:hAnsi="黑体" w:eastAsia="黑体" w:cs="Times New Roman"/>
          <w:sz w:val="28"/>
          <w:szCs w:val="28"/>
        </w:rPr>
        <w:t xml:space="preserve">第五条 </w:t>
      </w:r>
      <w:r>
        <w:rPr>
          <w:rFonts w:hint="eastAsia" w:ascii="仿宋_GB2312" w:hAnsi="宋体" w:eastAsia="仿宋_GB2312" w:cs="Times New Roman"/>
          <w:sz w:val="28"/>
          <w:szCs w:val="28"/>
        </w:rPr>
        <w:t>监督</w:t>
      </w:r>
      <w:r>
        <w:rPr>
          <w:rFonts w:ascii="仿宋_GB2312" w:hAnsi="宋体" w:eastAsia="仿宋_GB2312" w:cs="Times New Roman"/>
          <w:sz w:val="28"/>
          <w:szCs w:val="28"/>
        </w:rPr>
        <w:t>检查发现的问题</w:t>
      </w:r>
      <w:r>
        <w:rPr>
          <w:rFonts w:hint="eastAsia" w:ascii="仿宋_GB2312" w:hAnsi="宋体" w:eastAsia="仿宋_GB2312" w:cs="Times New Roman"/>
          <w:sz w:val="28"/>
          <w:szCs w:val="28"/>
        </w:rPr>
        <w:t>，</w:t>
      </w:r>
      <w:r>
        <w:rPr>
          <w:rFonts w:ascii="仿宋_GB2312" w:hAnsi="宋体" w:eastAsia="仿宋_GB2312" w:cs="Times New Roman"/>
          <w:sz w:val="28"/>
          <w:szCs w:val="28"/>
        </w:rPr>
        <w:t>将由平台</w:t>
      </w:r>
      <w:r>
        <w:rPr>
          <w:rFonts w:hint="eastAsia" w:ascii="仿宋_GB2312" w:hAnsi="宋体" w:eastAsia="仿宋_GB2312" w:cs="Times New Roman"/>
          <w:sz w:val="28"/>
          <w:szCs w:val="28"/>
          <w:lang w:val="en-US" w:eastAsia="zh-CN"/>
        </w:rPr>
        <w:t>专班</w:t>
      </w:r>
      <w:r>
        <w:rPr>
          <w:rFonts w:ascii="仿宋_GB2312" w:hAnsi="宋体" w:eastAsia="仿宋_GB2312" w:cs="Times New Roman"/>
          <w:sz w:val="28"/>
          <w:szCs w:val="28"/>
        </w:rPr>
        <w:t>发出书面整改通知，</w:t>
      </w:r>
      <w:r>
        <w:rPr>
          <w:rFonts w:hint="eastAsia" w:ascii="仿宋_GB2312" w:hAnsi="宋体" w:eastAsia="仿宋_GB2312" w:cs="Times New Roman"/>
          <w:sz w:val="28"/>
          <w:szCs w:val="28"/>
        </w:rPr>
        <w:t>相关</w:t>
      </w:r>
      <w:r>
        <w:rPr>
          <w:rFonts w:hint="eastAsia" w:ascii="仿宋_GB2312" w:hAnsi="宋体" w:eastAsia="仿宋_GB2312" w:cs="Times New Roman"/>
          <w:sz w:val="28"/>
          <w:szCs w:val="28"/>
          <w:lang w:val="en-US" w:eastAsia="zh-CN"/>
        </w:rPr>
        <w:t>责任人</w:t>
      </w:r>
      <w:r>
        <w:rPr>
          <w:rFonts w:hint="eastAsia" w:ascii="仿宋_GB2312" w:hAnsi="宋体" w:eastAsia="仿宋_GB2312" w:cs="Times New Roman"/>
          <w:sz w:val="28"/>
          <w:szCs w:val="28"/>
        </w:rPr>
        <w:t>应在</w:t>
      </w:r>
      <w:r>
        <w:rPr>
          <w:rFonts w:ascii="仿宋_GB2312" w:hAnsi="宋体" w:eastAsia="仿宋_GB2312" w:cs="Times New Roman"/>
          <w:sz w:val="28"/>
          <w:szCs w:val="28"/>
        </w:rPr>
        <w:t>收到整改通知之日起</w:t>
      </w:r>
      <w:r>
        <w:rPr>
          <w:rFonts w:hint="eastAsia" w:ascii="仿宋_GB2312" w:hAnsi="宋体" w:eastAsia="仿宋_GB2312" w:cs="Times New Roman"/>
          <w:sz w:val="28"/>
          <w:szCs w:val="28"/>
        </w:rPr>
        <w:t>7个工作日内</w:t>
      </w:r>
      <w:r>
        <w:rPr>
          <w:rFonts w:ascii="仿宋_GB2312" w:hAnsi="宋体" w:eastAsia="仿宋_GB2312" w:cs="Times New Roman"/>
          <w:sz w:val="28"/>
          <w:szCs w:val="28"/>
        </w:rPr>
        <w:t>完成整改，并将整改情况报送</w:t>
      </w:r>
      <w:r>
        <w:rPr>
          <w:rFonts w:hint="eastAsia" w:ascii="仿宋_GB2312" w:hAnsi="宋体" w:eastAsia="仿宋_GB2312" w:cs="Times New Roman"/>
          <w:sz w:val="28"/>
          <w:szCs w:val="28"/>
        </w:rPr>
        <w:t>平台</w:t>
      </w:r>
      <w:r>
        <w:rPr>
          <w:rFonts w:hint="eastAsia" w:ascii="仿宋_GB2312" w:hAnsi="宋体" w:eastAsia="仿宋_GB2312" w:cs="Times New Roman"/>
          <w:sz w:val="28"/>
          <w:szCs w:val="28"/>
          <w:lang w:val="en-US" w:eastAsia="zh-CN"/>
        </w:rPr>
        <w:t>专班</w:t>
      </w:r>
      <w:r>
        <w:rPr>
          <w:rFonts w:ascii="仿宋_GB2312" w:hAnsi="宋体" w:eastAsia="仿宋_GB2312" w:cs="Times New Roman"/>
          <w:sz w:val="28"/>
          <w:szCs w:val="28"/>
        </w:rPr>
        <w:t>，</w:t>
      </w:r>
      <w:r>
        <w:rPr>
          <w:rFonts w:hint="eastAsia" w:ascii="仿宋_GB2312" w:hAnsi="宋体" w:eastAsia="仿宋_GB2312" w:cs="Times New Roman"/>
          <w:sz w:val="28"/>
          <w:szCs w:val="28"/>
        </w:rPr>
        <w:t>平台</w:t>
      </w:r>
      <w:r>
        <w:rPr>
          <w:rFonts w:hint="eastAsia" w:ascii="仿宋_GB2312" w:hAnsi="宋体" w:eastAsia="仿宋_GB2312" w:cs="Times New Roman"/>
          <w:sz w:val="28"/>
          <w:szCs w:val="28"/>
          <w:lang w:val="en-US" w:eastAsia="zh-CN"/>
        </w:rPr>
        <w:t>专班</w:t>
      </w:r>
      <w:r>
        <w:rPr>
          <w:rFonts w:hint="eastAsia" w:ascii="仿宋_GB2312" w:hAnsi="宋体" w:eastAsia="仿宋_GB2312" w:cs="Times New Roman"/>
          <w:sz w:val="28"/>
          <w:szCs w:val="28"/>
        </w:rPr>
        <w:t>将</w:t>
      </w:r>
      <w:r>
        <w:rPr>
          <w:rFonts w:ascii="仿宋_GB2312" w:hAnsi="宋体" w:eastAsia="仿宋_GB2312" w:cs="Times New Roman"/>
          <w:sz w:val="28"/>
          <w:szCs w:val="28"/>
        </w:rPr>
        <w:t>进行复检。经复检，发现整改工作未完成的，将根据相关规定</w:t>
      </w:r>
      <w:r>
        <w:rPr>
          <w:rFonts w:hint="eastAsia" w:ascii="仿宋_GB2312" w:hAnsi="宋体" w:eastAsia="仿宋_GB2312" w:cs="Times New Roman"/>
          <w:sz w:val="28"/>
          <w:szCs w:val="28"/>
        </w:rPr>
        <w:t>处理</w:t>
      </w:r>
      <w:r>
        <w:rPr>
          <w:rFonts w:ascii="仿宋_GB2312" w:hAnsi="宋体" w:eastAsia="仿宋_GB2312" w:cs="Times New Roman"/>
          <w:sz w:val="28"/>
          <w:szCs w:val="28"/>
        </w:rPr>
        <w:t>。</w:t>
      </w:r>
    </w:p>
    <w:p>
      <w:pPr>
        <w:spacing w:line="360" w:lineRule="auto"/>
        <w:ind w:firstLine="560" w:firstLineChars="200"/>
        <w:rPr>
          <w:rFonts w:hint="default" w:ascii="黑体" w:hAnsi="黑体" w:eastAsia="黑体" w:cs="Times New Roman"/>
          <w:sz w:val="28"/>
          <w:szCs w:val="28"/>
          <w:lang w:val="en-US" w:eastAsia="zh-CN"/>
        </w:rPr>
      </w:pPr>
      <w:r>
        <w:rPr>
          <w:rFonts w:hint="eastAsia" w:ascii="黑体" w:hAnsi="黑体" w:eastAsia="黑体" w:cs="Times New Roman"/>
          <w:sz w:val="28"/>
          <w:szCs w:val="28"/>
          <w:lang w:val="en-US" w:eastAsia="zh-CN"/>
        </w:rPr>
        <w:t xml:space="preserve">第六条 </w:t>
      </w:r>
      <w:r>
        <w:rPr>
          <w:rFonts w:hint="eastAsia" w:ascii="仿宋_GB2312" w:hAnsi="宋体" w:eastAsia="仿宋_GB2312" w:cs="Times New Roman"/>
          <w:sz w:val="28"/>
          <w:szCs w:val="28"/>
          <w:lang w:val="en-US" w:eastAsia="zh-CN"/>
        </w:rPr>
        <w:t>检查人员应如实填写《监督检查记录表》（见附件一）。</w:t>
      </w:r>
    </w:p>
    <w:p>
      <w:pPr>
        <w:spacing w:line="360" w:lineRule="auto"/>
        <w:ind w:firstLine="560" w:firstLineChars="200"/>
        <w:rPr>
          <w:rFonts w:hint="eastAsia" w:ascii="仿宋_GB2312" w:hAnsi="宋体" w:eastAsia="仿宋_GB2312"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七</w:t>
      </w:r>
      <w:r>
        <w:rPr>
          <w:rFonts w:hint="eastAsia" w:ascii="黑体" w:hAnsi="黑体" w:eastAsia="黑体" w:cs="Times New Roman"/>
          <w:sz w:val="28"/>
          <w:szCs w:val="28"/>
        </w:rPr>
        <w:t>条</w:t>
      </w:r>
      <w:r>
        <w:rPr>
          <w:rFonts w:hint="eastAsia" w:ascii="仿宋_GB2312" w:hAnsi="宋体" w:eastAsia="仿宋_GB2312" w:cs="Times New Roman"/>
          <w:sz w:val="28"/>
          <w:szCs w:val="28"/>
        </w:rPr>
        <w:t xml:space="preserve"> 检查人员对监督检查过程中所得资料中涉及当事机构商业等事项有保密义务。</w:t>
      </w:r>
    </w:p>
    <w:p>
      <w:pPr>
        <w:spacing w:line="360" w:lineRule="auto"/>
        <w:ind w:firstLine="560" w:firstLineChars="200"/>
        <w:rPr>
          <w:rFonts w:hint="eastAsia" w:ascii="仿宋_GB2312" w:hAnsi="宋体" w:eastAsia="仿宋_GB2312"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八</w:t>
      </w:r>
      <w:r>
        <w:rPr>
          <w:rFonts w:hint="eastAsia" w:ascii="黑体" w:hAnsi="黑体" w:eastAsia="黑体" w:cs="Times New Roman"/>
          <w:sz w:val="28"/>
          <w:szCs w:val="28"/>
        </w:rPr>
        <w:t xml:space="preserve">条 </w:t>
      </w:r>
      <w:r>
        <w:rPr>
          <w:rFonts w:hint="eastAsia" w:ascii="仿宋_GB2312" w:hAnsi="宋体" w:eastAsia="仿宋_GB2312" w:cs="Times New Roman"/>
          <w:sz w:val="28"/>
          <w:szCs w:val="28"/>
        </w:rPr>
        <w:t>检查人员滥用职权、玩忽职守或包庇机构侵害服务对象合法权益的，由平台</w:t>
      </w:r>
      <w:r>
        <w:rPr>
          <w:rFonts w:hint="eastAsia" w:ascii="仿宋_GB2312" w:hAnsi="宋体" w:eastAsia="仿宋_GB2312" w:cs="Times New Roman"/>
          <w:sz w:val="28"/>
          <w:szCs w:val="28"/>
          <w:lang w:val="en-US" w:eastAsia="zh-CN"/>
        </w:rPr>
        <w:t>专班</w:t>
      </w:r>
      <w:r>
        <w:rPr>
          <w:rFonts w:hint="eastAsia" w:ascii="仿宋_GB2312" w:hAnsi="宋体" w:eastAsia="仿宋_GB2312" w:cs="Times New Roman"/>
          <w:sz w:val="28"/>
          <w:szCs w:val="28"/>
        </w:rPr>
        <w:t>给予处理；情节严重，构成犯罪的，依法追究刑事责任。</w:t>
      </w:r>
    </w:p>
    <w:p>
      <w:pPr>
        <w:spacing w:line="360" w:lineRule="auto"/>
        <w:ind w:firstLine="560" w:firstLineChars="200"/>
        <w:rPr>
          <w:rFonts w:hint="default" w:ascii="仿宋_GB2312" w:hAnsi="宋体" w:eastAsia="仿宋_GB2312" w:cs="Times New Roman"/>
          <w:sz w:val="28"/>
          <w:szCs w:val="28"/>
          <w:lang w:val="en-US" w:eastAsia="zh-CN"/>
        </w:rPr>
      </w:pPr>
      <w:r>
        <w:rPr>
          <w:rFonts w:hint="eastAsia" w:ascii="黑体" w:hAnsi="黑体" w:eastAsia="黑体" w:cs="Times New Roman"/>
          <w:sz w:val="28"/>
          <w:szCs w:val="28"/>
          <w:lang w:val="en-US" w:eastAsia="zh-CN"/>
        </w:rPr>
        <w:t>第九条</w:t>
      </w:r>
      <w:r>
        <w:rPr>
          <w:rFonts w:hint="eastAsia" w:ascii="仿宋_GB2312" w:hAnsi="宋体" w:eastAsia="仿宋_GB2312" w:cs="Times New Roman"/>
          <w:sz w:val="28"/>
          <w:szCs w:val="28"/>
          <w:lang w:val="en-US" w:eastAsia="zh-CN"/>
        </w:rPr>
        <w:t xml:space="preserve"> 相关记录表单：</w:t>
      </w:r>
    </w:p>
    <w:p>
      <w:pPr>
        <w:spacing w:line="360" w:lineRule="auto"/>
        <w:ind w:firstLine="560" w:firstLineChars="200"/>
        <w:rPr>
          <w:rFonts w:hint="eastAsia" w:ascii="仿宋_GB2312" w:hAnsi="宋体" w:eastAsia="仿宋_GB2312" w:cs="Times New Roman"/>
          <w:sz w:val="28"/>
          <w:szCs w:val="28"/>
          <w:lang w:val="en-US" w:eastAsia="zh-CN"/>
        </w:rPr>
      </w:pPr>
      <w:r>
        <w:rPr>
          <w:rFonts w:hint="eastAsia" w:ascii="仿宋_GB2312" w:hAnsi="宋体" w:eastAsia="仿宋_GB2312" w:cs="Times New Roman"/>
          <w:sz w:val="28"/>
          <w:szCs w:val="28"/>
          <w:lang w:val="en-US" w:eastAsia="zh-CN"/>
        </w:rPr>
        <w:t>WY</w:t>
      </w:r>
      <w:r>
        <w:rPr>
          <w:rFonts w:hint="eastAsia" w:ascii="仿宋_GB2312" w:hAnsi="宋体" w:eastAsia="仿宋_GB2312" w:cs="Times New Roman"/>
          <w:sz w:val="28"/>
          <w:szCs w:val="28"/>
        </w:rPr>
        <w:t>-JL-006</w:t>
      </w:r>
      <w:r>
        <w:rPr>
          <w:rFonts w:hint="eastAsia" w:ascii="仿宋_GB2312" w:hAnsi="宋体" w:eastAsia="仿宋_GB2312" w:cs="Times New Roman"/>
          <w:sz w:val="28"/>
          <w:szCs w:val="28"/>
          <w:lang w:val="en-US" w:eastAsia="zh-CN"/>
        </w:rPr>
        <w:t xml:space="preserve"> 监督检查记录表</w:t>
      </w:r>
    </w:p>
    <w:p>
      <w:pPr>
        <w:spacing w:line="360" w:lineRule="auto"/>
        <w:ind w:firstLine="560" w:firstLineChars="200"/>
        <w:rPr>
          <w:rFonts w:ascii="仿宋_GB2312" w:hAnsi="宋体" w:eastAsia="仿宋_GB2312" w:cs="Times New Roman"/>
          <w:sz w:val="28"/>
          <w:szCs w:val="28"/>
        </w:rPr>
      </w:pPr>
    </w:p>
    <w:p>
      <w:pPr>
        <w:spacing w:line="360" w:lineRule="auto"/>
        <w:ind w:firstLine="560" w:firstLineChars="200"/>
        <w:rPr>
          <w:rFonts w:hint="default" w:ascii="仿宋_GB2312" w:hAnsi="宋体" w:eastAsia="仿宋_GB2312" w:cs="Times New Roman"/>
          <w:sz w:val="28"/>
          <w:szCs w:val="28"/>
          <w:lang w:val="en-US" w:eastAsia="zh-CN"/>
        </w:rPr>
      </w:pPr>
    </w:p>
    <w:p>
      <w:pPr>
        <w:spacing w:line="360" w:lineRule="auto"/>
        <w:ind w:firstLine="560" w:firstLineChars="200"/>
        <w:rPr>
          <w:rFonts w:hint="default" w:ascii="仿宋_GB2312" w:hAnsi="宋体" w:eastAsia="仿宋_GB2312" w:cs="Times New Roman"/>
          <w:sz w:val="28"/>
          <w:szCs w:val="28"/>
          <w:lang w:val="en-US" w:eastAsia="zh-CN"/>
        </w:rPr>
      </w:pPr>
      <w:bookmarkStart w:id="0" w:name="_GoBack"/>
      <w:bookmarkEnd w:id="0"/>
    </w:p>
    <w:p>
      <w:pPr>
        <w:rPr>
          <w:rFonts w:hint="eastAsia" w:ascii="黑体" w:hAnsi="黑体" w:eastAsia="黑体" w:cs="Times New Roman"/>
          <w:sz w:val="28"/>
          <w:szCs w:val="28"/>
          <w:lang w:val="en-US" w:eastAsia="zh-CN"/>
        </w:rPr>
      </w:pPr>
      <w:r>
        <w:rPr>
          <w:rFonts w:hint="eastAsia" w:ascii="黑体" w:hAnsi="黑体" w:eastAsia="黑体" w:cs="Times New Roman"/>
          <w:sz w:val="28"/>
          <w:szCs w:val="28"/>
          <w:lang w:val="en-US" w:eastAsia="zh-CN"/>
        </w:rPr>
        <w:br w:type="page"/>
      </w:r>
    </w:p>
    <w:p>
      <w:pPr>
        <w:spacing w:line="360" w:lineRule="auto"/>
        <w:rPr>
          <w:rFonts w:hint="default" w:ascii="黑体" w:hAnsi="黑体" w:eastAsia="黑体" w:cs="Times New Roman"/>
          <w:sz w:val="28"/>
          <w:szCs w:val="28"/>
          <w:lang w:val="en-US" w:eastAsia="zh-CN"/>
        </w:rPr>
      </w:pPr>
      <w:r>
        <w:rPr>
          <w:rFonts w:hint="eastAsia" w:ascii="黑体" w:hAnsi="黑体" w:eastAsia="黑体" w:cs="Times New Roman"/>
          <w:sz w:val="28"/>
          <w:szCs w:val="28"/>
          <w:lang w:val="en-US" w:eastAsia="zh-CN"/>
        </w:rPr>
        <w:t>附件一</w:t>
      </w:r>
    </w:p>
    <w:p>
      <w:pPr>
        <w:widowControl/>
        <w:shd w:val="clear" w:color="auto"/>
        <w:spacing w:line="360" w:lineRule="auto"/>
        <w:jc w:val="center"/>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监督检查记录表</w:t>
      </w:r>
    </w:p>
    <w:tbl>
      <w:tblPr>
        <w:tblStyle w:val="10"/>
        <w:tblW w:w="85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8"/>
        <w:gridCol w:w="2428"/>
        <w:gridCol w:w="1314"/>
        <w:gridCol w:w="34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1348" w:type="dxa"/>
            <w:vAlign w:val="center"/>
          </w:tcPr>
          <w:p>
            <w:pPr>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检查对象</w:t>
            </w:r>
          </w:p>
        </w:tc>
        <w:tc>
          <w:tcPr>
            <w:tcW w:w="2428" w:type="dxa"/>
            <w:vAlign w:val="center"/>
          </w:tcPr>
          <w:p>
            <w:pPr>
              <w:jc w:val="center"/>
              <w:rPr>
                <w:rFonts w:hint="default" w:ascii="宋体" w:hAnsi="宋体" w:eastAsia="宋体" w:cs="宋体"/>
                <w:b w:val="0"/>
                <w:bCs w:val="0"/>
                <w:sz w:val="21"/>
                <w:szCs w:val="21"/>
                <w:lang w:val="en-US" w:eastAsia="zh-CN"/>
              </w:rPr>
            </w:pPr>
          </w:p>
        </w:tc>
        <w:tc>
          <w:tcPr>
            <w:tcW w:w="1314" w:type="dxa"/>
            <w:vAlign w:val="center"/>
          </w:tcPr>
          <w:p>
            <w:pPr>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检查日期</w:t>
            </w:r>
          </w:p>
        </w:tc>
        <w:tc>
          <w:tcPr>
            <w:tcW w:w="3429" w:type="dxa"/>
            <w:vAlign w:val="center"/>
          </w:tcPr>
          <w:p>
            <w:pPr>
              <w:jc w:val="center"/>
              <w:rPr>
                <w:rFonts w:hint="default" w:ascii="宋体" w:hAnsi="宋体" w:eastAsia="宋体" w:cs="宋体"/>
                <w:b w:val="0"/>
                <w:bCs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jc w:val="center"/>
        </w:trPr>
        <w:tc>
          <w:tcPr>
            <w:tcW w:w="1348" w:type="dxa"/>
            <w:vAlign w:val="center"/>
          </w:tcPr>
          <w:p>
            <w:pPr>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问题事项</w:t>
            </w:r>
          </w:p>
        </w:tc>
        <w:tc>
          <w:tcPr>
            <w:tcW w:w="7171" w:type="dxa"/>
            <w:gridSpan w:val="3"/>
            <w:vAlign w:val="center"/>
          </w:tcPr>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 xml:space="preserve">                检查人：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jc w:val="center"/>
        </w:trPr>
        <w:tc>
          <w:tcPr>
            <w:tcW w:w="1348" w:type="dxa"/>
            <w:vAlign w:val="center"/>
          </w:tcPr>
          <w:p>
            <w:pPr>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原因分析</w:t>
            </w:r>
          </w:p>
        </w:tc>
        <w:tc>
          <w:tcPr>
            <w:tcW w:w="7171" w:type="dxa"/>
            <w:gridSpan w:val="3"/>
            <w:vAlign w:val="center"/>
          </w:tcPr>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 xml:space="preserve">                责任人：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jc w:val="center"/>
        </w:trPr>
        <w:tc>
          <w:tcPr>
            <w:tcW w:w="1348" w:type="dxa"/>
            <w:vAlign w:val="center"/>
          </w:tcPr>
          <w:p>
            <w:pPr>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采取的纠正措施</w:t>
            </w:r>
          </w:p>
        </w:tc>
        <w:tc>
          <w:tcPr>
            <w:tcW w:w="7171" w:type="dxa"/>
            <w:gridSpan w:val="3"/>
            <w:vAlign w:val="center"/>
          </w:tcPr>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 xml:space="preserve">               责任人：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jc w:val="center"/>
        </w:trPr>
        <w:tc>
          <w:tcPr>
            <w:tcW w:w="1348" w:type="dxa"/>
            <w:vAlign w:val="center"/>
          </w:tcPr>
          <w:p>
            <w:pPr>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纠正措施的跟踪验证</w:t>
            </w:r>
          </w:p>
        </w:tc>
        <w:tc>
          <w:tcPr>
            <w:tcW w:w="7171" w:type="dxa"/>
            <w:gridSpan w:val="3"/>
            <w:vAlign w:val="center"/>
          </w:tcPr>
          <w:p>
            <w:pPr>
              <w:jc w:val="center"/>
              <w:rPr>
                <w:rFonts w:hint="eastAsia" w:ascii="宋体" w:hAnsi="宋体" w:eastAsia="宋体" w:cs="宋体"/>
                <w:b w:val="0"/>
                <w:bCs w:val="0"/>
                <w:sz w:val="21"/>
                <w:szCs w:val="21"/>
                <w:lang w:val="en-US" w:eastAsia="zh-CN"/>
              </w:rPr>
            </w:pPr>
          </w:p>
          <w:p>
            <w:pPr>
              <w:jc w:val="center"/>
              <w:rPr>
                <w:rFonts w:hint="eastAsia" w:ascii="宋体" w:hAnsi="宋体" w:eastAsia="宋体" w:cs="宋体"/>
                <w:b w:val="0"/>
                <w:bCs w:val="0"/>
                <w:sz w:val="21"/>
                <w:szCs w:val="21"/>
                <w:lang w:val="en-US" w:eastAsia="zh-CN"/>
              </w:rPr>
            </w:pPr>
          </w:p>
          <w:p>
            <w:pPr>
              <w:jc w:val="center"/>
              <w:rPr>
                <w:rFonts w:hint="eastAsia" w:ascii="宋体" w:hAnsi="宋体" w:eastAsia="宋体" w:cs="宋体"/>
                <w:b w:val="0"/>
                <w:bCs w:val="0"/>
                <w:sz w:val="21"/>
                <w:szCs w:val="21"/>
                <w:lang w:val="en-US" w:eastAsia="zh-CN"/>
              </w:rPr>
            </w:pPr>
          </w:p>
          <w:p>
            <w:pPr>
              <w:jc w:val="center"/>
              <w:rPr>
                <w:rFonts w:hint="eastAsia" w:ascii="宋体" w:hAnsi="宋体" w:eastAsia="宋体" w:cs="宋体"/>
                <w:b w:val="0"/>
                <w:bCs w:val="0"/>
                <w:sz w:val="21"/>
                <w:szCs w:val="21"/>
                <w:lang w:val="en-US" w:eastAsia="zh-CN"/>
              </w:rPr>
            </w:pPr>
          </w:p>
          <w:p>
            <w:pPr>
              <w:jc w:val="center"/>
              <w:rPr>
                <w:rFonts w:hint="eastAsia" w:ascii="宋体" w:hAnsi="宋体" w:eastAsia="宋体" w:cs="宋体"/>
                <w:b w:val="0"/>
                <w:bCs w:val="0"/>
                <w:sz w:val="21"/>
                <w:szCs w:val="21"/>
                <w:lang w:val="en-US" w:eastAsia="zh-CN"/>
              </w:rPr>
            </w:pPr>
          </w:p>
          <w:p>
            <w:pPr>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 xml:space="preserve">              检查人：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jc w:val="center"/>
        </w:trPr>
        <w:tc>
          <w:tcPr>
            <w:tcW w:w="1348" w:type="dxa"/>
            <w:vAlign w:val="center"/>
          </w:tcPr>
          <w:p>
            <w:pPr>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备注</w:t>
            </w:r>
          </w:p>
        </w:tc>
        <w:tc>
          <w:tcPr>
            <w:tcW w:w="7171" w:type="dxa"/>
            <w:gridSpan w:val="3"/>
            <w:vAlign w:val="center"/>
          </w:tcPr>
          <w:p>
            <w:pPr>
              <w:jc w:val="center"/>
              <w:rPr>
                <w:rFonts w:hint="eastAsia" w:ascii="宋体" w:hAnsi="宋体" w:eastAsia="宋体" w:cs="宋体"/>
                <w:b w:val="0"/>
                <w:bCs w:val="0"/>
                <w:sz w:val="21"/>
                <w:szCs w:val="21"/>
                <w:lang w:val="en-US" w:eastAsia="zh-CN"/>
              </w:rPr>
            </w:pPr>
          </w:p>
        </w:tc>
      </w:tr>
    </w:tbl>
    <w:p>
      <w:pPr>
        <w:spacing w:line="360" w:lineRule="auto"/>
        <w:rPr>
          <w:rFonts w:hint="default" w:ascii="黑体" w:hAnsi="黑体" w:eastAsia="黑体" w:cs="Times New Roman"/>
          <w:sz w:val="28"/>
          <w:szCs w:val="28"/>
          <w:lang w:val="en-US" w:eastAsia="zh-CN"/>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script"/>
    <w:pitch w:val="default"/>
    <w:sig w:usb0="00000000" w:usb1="00000000" w:usb2="00000000" w:usb3="00000000" w:csb0="00000000" w:csb1="00000000"/>
  </w:font>
  <w:font w:name="方正仿宋_GB2312">
    <w:altName w:val="仿宋"/>
    <w:panose1 w:val="02000000000000000000"/>
    <w:charset w:val="86"/>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jc w:val="both"/>
      <w:rPr>
        <w:rFonts w:hint="eastAsia" w:ascii="方正仿宋_GB2312" w:hAnsi="方正仿宋_GB2312" w:eastAsia="方正仿宋_GB2312" w:cs="方正仿宋_GB2312"/>
        <w:sz w:val="18"/>
        <w:szCs w:val="18"/>
      </w:rPr>
    </w:pPr>
    <w:r>
      <w:rPr>
        <w:rFonts w:hint="eastAsia" w:ascii="方正仿宋_GB2312" w:hAnsi="方正仿宋_GB2312" w:eastAsia="方正仿宋_GB2312" w:cs="方正仿宋_GB2312"/>
        <w:sz w:val="18"/>
        <w:szCs w:val="18"/>
      </w:rPr>
      <w:t>诸暨市</w:t>
    </w:r>
    <w:r>
      <w:rPr>
        <w:rFonts w:hint="eastAsia" w:ascii="方正仿宋_GB2312" w:hAnsi="方正仿宋_GB2312" w:eastAsia="方正仿宋_GB2312" w:cs="方正仿宋_GB2312"/>
        <w:sz w:val="18"/>
        <w:szCs w:val="18"/>
        <w:lang w:val="en-US" w:eastAsia="zh-CN"/>
      </w:rPr>
      <w:t>袜业</w:t>
    </w:r>
    <w:r>
      <w:rPr>
        <w:rFonts w:hint="eastAsia" w:ascii="方正仿宋_GB2312" w:hAnsi="方正仿宋_GB2312" w:eastAsia="方正仿宋_GB2312" w:cs="方正仿宋_GB2312"/>
        <w:sz w:val="18"/>
        <w:szCs w:val="18"/>
      </w:rPr>
      <w:t>产业质量基础设施“一站式”服务平台</w:t>
    </w:r>
  </w:p>
  <w:p>
    <w:pPr>
      <w:pStyle w:val="7"/>
      <w:pBdr>
        <w:bottom w:val="none" w:color="auto" w:sz="0" w:space="1"/>
      </w:pBdr>
      <w:jc w:val="both"/>
      <w:outlineLvl w:val="9"/>
      <w:rPr>
        <w:rFonts w:hint="eastAsia" w:ascii="方正仿宋_GB2312" w:hAnsi="方正仿宋_GB2312" w:eastAsia="方正仿宋_GB2312" w:cs="方正仿宋_GB2312"/>
        <w:sz w:val="18"/>
        <w:szCs w:val="18"/>
        <w:lang w:val="en-US" w:eastAsia="zh-CN"/>
      </w:rPr>
    </w:pPr>
    <w:r>
      <w:rPr>
        <w:rFonts w:hint="eastAsia" w:ascii="方正仿宋_GB2312" w:hAnsi="方正仿宋_GB2312" w:eastAsia="方正仿宋_GB2312" w:cs="方正仿宋_GB2312"/>
        <w:sz w:val="18"/>
        <w:szCs w:val="18"/>
        <w:lang w:val="en-US" w:eastAsia="zh-CN"/>
      </w:rPr>
      <w:t>文件编号：</w:t>
    </w:r>
    <w:r>
      <w:rPr>
        <w:rFonts w:hint="eastAsia" w:ascii="方正小标宋简体" w:eastAsia="方正小标宋简体"/>
        <w:sz w:val="18"/>
        <w:szCs w:val="18"/>
        <w:lang w:val="en-US" w:eastAsia="zh-CN"/>
      </w:rPr>
      <w:t>WY</w:t>
    </w:r>
    <w:r>
      <w:rPr>
        <w:rFonts w:hint="eastAsia" w:ascii="方正仿宋_GB2312" w:hAnsi="方正仿宋_GB2312" w:eastAsia="方正仿宋_GB2312" w:cs="方正仿宋_GB2312"/>
        <w:sz w:val="18"/>
        <w:szCs w:val="18"/>
        <w:lang w:val="en-US" w:eastAsia="zh-CN"/>
      </w:rPr>
      <w:t>-FW-008-2022</w:t>
    </w:r>
  </w:p>
  <w:p>
    <w:pPr>
      <w:pStyle w:val="7"/>
      <w:pBdr>
        <w:bottom w:val="none" w:color="auto" w:sz="0" w:space="1"/>
      </w:pBdr>
      <w:jc w:val="both"/>
      <w:rPr>
        <w:rFonts w:hint="eastAsia" w:ascii="方正仿宋_GB2312" w:hAnsi="方正仿宋_GB2312" w:eastAsia="方正仿宋_GB2312" w:cs="方正仿宋_GB2312"/>
        <w:lang w:val="en-US"/>
      </w:rPr>
    </w:pPr>
    <w:r>
      <w:rPr>
        <w:rFonts w:hint="eastAsia" w:ascii="方正仿宋_GB2312" w:hAnsi="方正仿宋_GB2312" w:eastAsia="方正仿宋_GB2312" w:cs="方正仿宋_GB2312"/>
        <w:sz w:val="18"/>
        <w:szCs w:val="18"/>
        <w:lang w:val="en-US" w:eastAsia="zh-CN"/>
      </w:rPr>
      <w:t>版本号：A/1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wOTgxMTlhMWUyYjA4ZTRhZWExZDViZjgyYWZlODkifQ=="/>
  </w:docVars>
  <w:rsids>
    <w:rsidRoot w:val="00E57D01"/>
    <w:rsid w:val="00001702"/>
    <w:rsid w:val="0002128D"/>
    <w:rsid w:val="0006389A"/>
    <w:rsid w:val="00095B62"/>
    <w:rsid w:val="001753B0"/>
    <w:rsid w:val="001841B4"/>
    <w:rsid w:val="001B357B"/>
    <w:rsid w:val="001B3F76"/>
    <w:rsid w:val="001D54CB"/>
    <w:rsid w:val="001F7C8E"/>
    <w:rsid w:val="00242B98"/>
    <w:rsid w:val="00281846"/>
    <w:rsid w:val="002A5C2C"/>
    <w:rsid w:val="002F3F8D"/>
    <w:rsid w:val="003259FC"/>
    <w:rsid w:val="003270B5"/>
    <w:rsid w:val="003752C8"/>
    <w:rsid w:val="003821B1"/>
    <w:rsid w:val="003D4AA3"/>
    <w:rsid w:val="004A5DE0"/>
    <w:rsid w:val="004E0D11"/>
    <w:rsid w:val="0050333E"/>
    <w:rsid w:val="0062340B"/>
    <w:rsid w:val="00623F3E"/>
    <w:rsid w:val="00694728"/>
    <w:rsid w:val="006D679C"/>
    <w:rsid w:val="006E7434"/>
    <w:rsid w:val="00793695"/>
    <w:rsid w:val="007941ED"/>
    <w:rsid w:val="007A6F63"/>
    <w:rsid w:val="007B161E"/>
    <w:rsid w:val="007B4546"/>
    <w:rsid w:val="007D3591"/>
    <w:rsid w:val="007E60EE"/>
    <w:rsid w:val="007F57C6"/>
    <w:rsid w:val="00822DAD"/>
    <w:rsid w:val="00851DC9"/>
    <w:rsid w:val="00883867"/>
    <w:rsid w:val="008C6EB9"/>
    <w:rsid w:val="008D4B65"/>
    <w:rsid w:val="00992C51"/>
    <w:rsid w:val="009932B7"/>
    <w:rsid w:val="009A29EE"/>
    <w:rsid w:val="00A00D92"/>
    <w:rsid w:val="00A01063"/>
    <w:rsid w:val="00A20EAF"/>
    <w:rsid w:val="00A928FF"/>
    <w:rsid w:val="00A97A30"/>
    <w:rsid w:val="00AC58AA"/>
    <w:rsid w:val="00AE078C"/>
    <w:rsid w:val="00B17749"/>
    <w:rsid w:val="00B20A6C"/>
    <w:rsid w:val="00B472BD"/>
    <w:rsid w:val="00B75AAE"/>
    <w:rsid w:val="00BD36CC"/>
    <w:rsid w:val="00BE50A6"/>
    <w:rsid w:val="00C47A62"/>
    <w:rsid w:val="00C83309"/>
    <w:rsid w:val="00CA75CF"/>
    <w:rsid w:val="00CD6FC7"/>
    <w:rsid w:val="00CE1F8A"/>
    <w:rsid w:val="00D5158C"/>
    <w:rsid w:val="00D60AC4"/>
    <w:rsid w:val="00D82822"/>
    <w:rsid w:val="00DA12DC"/>
    <w:rsid w:val="00DA5ED2"/>
    <w:rsid w:val="00DC1AFF"/>
    <w:rsid w:val="00DC1E04"/>
    <w:rsid w:val="00DC534D"/>
    <w:rsid w:val="00DD3908"/>
    <w:rsid w:val="00E01EBC"/>
    <w:rsid w:val="00E27810"/>
    <w:rsid w:val="00E362E5"/>
    <w:rsid w:val="00E429BF"/>
    <w:rsid w:val="00E57D01"/>
    <w:rsid w:val="00E808A0"/>
    <w:rsid w:val="00EE1605"/>
    <w:rsid w:val="00F67FCA"/>
    <w:rsid w:val="00F938D3"/>
    <w:rsid w:val="00F97BA7"/>
    <w:rsid w:val="014B08FF"/>
    <w:rsid w:val="017936BE"/>
    <w:rsid w:val="01CF1530"/>
    <w:rsid w:val="01F33470"/>
    <w:rsid w:val="022655F4"/>
    <w:rsid w:val="02AE7397"/>
    <w:rsid w:val="02E903CF"/>
    <w:rsid w:val="034B2E38"/>
    <w:rsid w:val="0385634A"/>
    <w:rsid w:val="03EA2651"/>
    <w:rsid w:val="042A3624"/>
    <w:rsid w:val="050339CA"/>
    <w:rsid w:val="050B0AD1"/>
    <w:rsid w:val="052E656D"/>
    <w:rsid w:val="05C53A26"/>
    <w:rsid w:val="05E337FC"/>
    <w:rsid w:val="068E19BA"/>
    <w:rsid w:val="06935222"/>
    <w:rsid w:val="069468A4"/>
    <w:rsid w:val="06F35CC1"/>
    <w:rsid w:val="07047ECE"/>
    <w:rsid w:val="0781507A"/>
    <w:rsid w:val="07A82607"/>
    <w:rsid w:val="07B0770E"/>
    <w:rsid w:val="081C4DA3"/>
    <w:rsid w:val="084A1910"/>
    <w:rsid w:val="08585DDB"/>
    <w:rsid w:val="08C23B9D"/>
    <w:rsid w:val="08C416C3"/>
    <w:rsid w:val="08E6788B"/>
    <w:rsid w:val="0955056D"/>
    <w:rsid w:val="097E7AC3"/>
    <w:rsid w:val="09BF72F9"/>
    <w:rsid w:val="0AEC4F01"/>
    <w:rsid w:val="0B6C7DF0"/>
    <w:rsid w:val="0BEE462D"/>
    <w:rsid w:val="0BF027CF"/>
    <w:rsid w:val="0C7156BE"/>
    <w:rsid w:val="0D307327"/>
    <w:rsid w:val="0D4C1C87"/>
    <w:rsid w:val="0D58062B"/>
    <w:rsid w:val="0E172E1A"/>
    <w:rsid w:val="0EA224A6"/>
    <w:rsid w:val="0EC20452"/>
    <w:rsid w:val="0EC51CF1"/>
    <w:rsid w:val="0F19203C"/>
    <w:rsid w:val="10352EA6"/>
    <w:rsid w:val="108D2CE2"/>
    <w:rsid w:val="10B22749"/>
    <w:rsid w:val="10CA7A92"/>
    <w:rsid w:val="117B2B3A"/>
    <w:rsid w:val="11DA3D05"/>
    <w:rsid w:val="12687563"/>
    <w:rsid w:val="126F08F1"/>
    <w:rsid w:val="12B04A66"/>
    <w:rsid w:val="12C34799"/>
    <w:rsid w:val="12CD5618"/>
    <w:rsid w:val="132C17E0"/>
    <w:rsid w:val="133B07D3"/>
    <w:rsid w:val="13C7475D"/>
    <w:rsid w:val="13E42C19"/>
    <w:rsid w:val="16774218"/>
    <w:rsid w:val="168B1A72"/>
    <w:rsid w:val="16F21AF1"/>
    <w:rsid w:val="17C84600"/>
    <w:rsid w:val="17F11DA8"/>
    <w:rsid w:val="181C16C5"/>
    <w:rsid w:val="18251A52"/>
    <w:rsid w:val="186E164B"/>
    <w:rsid w:val="18E65685"/>
    <w:rsid w:val="197C1B46"/>
    <w:rsid w:val="1991739F"/>
    <w:rsid w:val="19A43815"/>
    <w:rsid w:val="19CA0B03"/>
    <w:rsid w:val="1A2C356C"/>
    <w:rsid w:val="1CDB6B83"/>
    <w:rsid w:val="1DD67A76"/>
    <w:rsid w:val="1DF20628"/>
    <w:rsid w:val="1E403142"/>
    <w:rsid w:val="1E7D6144"/>
    <w:rsid w:val="1E9D0594"/>
    <w:rsid w:val="1F50309A"/>
    <w:rsid w:val="1FA871F0"/>
    <w:rsid w:val="1FCF29CF"/>
    <w:rsid w:val="200563F1"/>
    <w:rsid w:val="20AF45AF"/>
    <w:rsid w:val="216F0529"/>
    <w:rsid w:val="2188552B"/>
    <w:rsid w:val="21F901D7"/>
    <w:rsid w:val="224F7DF7"/>
    <w:rsid w:val="24A106B2"/>
    <w:rsid w:val="25C26B32"/>
    <w:rsid w:val="25DB4156"/>
    <w:rsid w:val="26492DAF"/>
    <w:rsid w:val="271B474C"/>
    <w:rsid w:val="271D04C4"/>
    <w:rsid w:val="27602AA7"/>
    <w:rsid w:val="27AC35F6"/>
    <w:rsid w:val="27AD638E"/>
    <w:rsid w:val="27C46B92"/>
    <w:rsid w:val="29891E41"/>
    <w:rsid w:val="29DB01C2"/>
    <w:rsid w:val="2A377AEF"/>
    <w:rsid w:val="2A5F0DF4"/>
    <w:rsid w:val="2A8E16D9"/>
    <w:rsid w:val="2AE31A25"/>
    <w:rsid w:val="2B0A0D5F"/>
    <w:rsid w:val="2B5B1830"/>
    <w:rsid w:val="2B780035"/>
    <w:rsid w:val="2BB1567F"/>
    <w:rsid w:val="2BBE1B4A"/>
    <w:rsid w:val="2C043A01"/>
    <w:rsid w:val="2C0E2AD1"/>
    <w:rsid w:val="2C153E60"/>
    <w:rsid w:val="2C956D4E"/>
    <w:rsid w:val="2CB73169"/>
    <w:rsid w:val="2CC82C80"/>
    <w:rsid w:val="2D962D7E"/>
    <w:rsid w:val="2E187C37"/>
    <w:rsid w:val="2E496043"/>
    <w:rsid w:val="2FD42C86"/>
    <w:rsid w:val="30760C45"/>
    <w:rsid w:val="31293F09"/>
    <w:rsid w:val="322A1CE7"/>
    <w:rsid w:val="32957AA8"/>
    <w:rsid w:val="329F4483"/>
    <w:rsid w:val="32E12CEE"/>
    <w:rsid w:val="339E473B"/>
    <w:rsid w:val="33EB36F8"/>
    <w:rsid w:val="33F87CEF"/>
    <w:rsid w:val="3437693D"/>
    <w:rsid w:val="34565015"/>
    <w:rsid w:val="34873421"/>
    <w:rsid w:val="34BB68B1"/>
    <w:rsid w:val="34E359F5"/>
    <w:rsid w:val="355E6877"/>
    <w:rsid w:val="361F6E53"/>
    <w:rsid w:val="375515B4"/>
    <w:rsid w:val="376932B2"/>
    <w:rsid w:val="3816278E"/>
    <w:rsid w:val="382F62A9"/>
    <w:rsid w:val="38C43424"/>
    <w:rsid w:val="38D1110E"/>
    <w:rsid w:val="398919E9"/>
    <w:rsid w:val="39B57B73"/>
    <w:rsid w:val="39F03816"/>
    <w:rsid w:val="3A1A44D0"/>
    <w:rsid w:val="3A3F654C"/>
    <w:rsid w:val="3A7206CF"/>
    <w:rsid w:val="3AB42A96"/>
    <w:rsid w:val="3B001968"/>
    <w:rsid w:val="3B2C4D22"/>
    <w:rsid w:val="3B627275"/>
    <w:rsid w:val="3BB16FD5"/>
    <w:rsid w:val="3BC44F5A"/>
    <w:rsid w:val="3C1001A0"/>
    <w:rsid w:val="3C5F2ED5"/>
    <w:rsid w:val="3D2C2DB7"/>
    <w:rsid w:val="3D3103CE"/>
    <w:rsid w:val="3D5440BC"/>
    <w:rsid w:val="3DC513DA"/>
    <w:rsid w:val="3E483C21"/>
    <w:rsid w:val="3E774506"/>
    <w:rsid w:val="3E970704"/>
    <w:rsid w:val="3EDC6A5F"/>
    <w:rsid w:val="3F221C42"/>
    <w:rsid w:val="3F823162"/>
    <w:rsid w:val="400B13AA"/>
    <w:rsid w:val="41874A60"/>
    <w:rsid w:val="41A90E7A"/>
    <w:rsid w:val="41C37A62"/>
    <w:rsid w:val="423170C2"/>
    <w:rsid w:val="451E392D"/>
    <w:rsid w:val="45C30031"/>
    <w:rsid w:val="46CC1167"/>
    <w:rsid w:val="47E92769"/>
    <w:rsid w:val="48315726"/>
    <w:rsid w:val="485B09F4"/>
    <w:rsid w:val="4891762D"/>
    <w:rsid w:val="48AC1250"/>
    <w:rsid w:val="493E459E"/>
    <w:rsid w:val="49575660"/>
    <w:rsid w:val="49BC3715"/>
    <w:rsid w:val="49BE123B"/>
    <w:rsid w:val="4A437992"/>
    <w:rsid w:val="4AF15640"/>
    <w:rsid w:val="4B180E1F"/>
    <w:rsid w:val="4BA95F1B"/>
    <w:rsid w:val="4C215AB1"/>
    <w:rsid w:val="4C6D6F48"/>
    <w:rsid w:val="4C9D5A7F"/>
    <w:rsid w:val="4CD3231D"/>
    <w:rsid w:val="4E5008D0"/>
    <w:rsid w:val="4E7D7917"/>
    <w:rsid w:val="4F1D6A04"/>
    <w:rsid w:val="50212524"/>
    <w:rsid w:val="5023004A"/>
    <w:rsid w:val="506D7517"/>
    <w:rsid w:val="509947B0"/>
    <w:rsid w:val="5176064D"/>
    <w:rsid w:val="51C969CF"/>
    <w:rsid w:val="5217598C"/>
    <w:rsid w:val="52E86357"/>
    <w:rsid w:val="53650979"/>
    <w:rsid w:val="543640C4"/>
    <w:rsid w:val="54631B76"/>
    <w:rsid w:val="54D20290"/>
    <w:rsid w:val="54E51D72"/>
    <w:rsid w:val="55B41744"/>
    <w:rsid w:val="564D5561"/>
    <w:rsid w:val="57255484"/>
    <w:rsid w:val="573963A5"/>
    <w:rsid w:val="575B456D"/>
    <w:rsid w:val="583D3C73"/>
    <w:rsid w:val="586B6A32"/>
    <w:rsid w:val="58CD4FF7"/>
    <w:rsid w:val="58EB36CF"/>
    <w:rsid w:val="596F4300"/>
    <w:rsid w:val="598D4786"/>
    <w:rsid w:val="598F6750"/>
    <w:rsid w:val="5A2F3A8F"/>
    <w:rsid w:val="5B2D6220"/>
    <w:rsid w:val="5B9B762E"/>
    <w:rsid w:val="5CB85FBE"/>
    <w:rsid w:val="5D066D29"/>
    <w:rsid w:val="5D172CE4"/>
    <w:rsid w:val="5D485594"/>
    <w:rsid w:val="5DDE7CA6"/>
    <w:rsid w:val="5E0E058B"/>
    <w:rsid w:val="5E40626B"/>
    <w:rsid w:val="5E6F08FE"/>
    <w:rsid w:val="5EB63892"/>
    <w:rsid w:val="5EE27322"/>
    <w:rsid w:val="5F0B6879"/>
    <w:rsid w:val="5FDE5D3B"/>
    <w:rsid w:val="5FF23595"/>
    <w:rsid w:val="613025C6"/>
    <w:rsid w:val="616B7AA3"/>
    <w:rsid w:val="61EF4230"/>
    <w:rsid w:val="62CF1D8D"/>
    <w:rsid w:val="630C0E11"/>
    <w:rsid w:val="63247F09"/>
    <w:rsid w:val="63D96028"/>
    <w:rsid w:val="63DC07E4"/>
    <w:rsid w:val="64EC4A56"/>
    <w:rsid w:val="65312DB1"/>
    <w:rsid w:val="65474383"/>
    <w:rsid w:val="6646463A"/>
    <w:rsid w:val="66A23F66"/>
    <w:rsid w:val="672345F3"/>
    <w:rsid w:val="676034DA"/>
    <w:rsid w:val="677D22DE"/>
    <w:rsid w:val="679413D5"/>
    <w:rsid w:val="68ED4EB9"/>
    <w:rsid w:val="693B41FE"/>
    <w:rsid w:val="69482477"/>
    <w:rsid w:val="699167B2"/>
    <w:rsid w:val="699B5970"/>
    <w:rsid w:val="69C67F6C"/>
    <w:rsid w:val="69F12B0F"/>
    <w:rsid w:val="6A102F95"/>
    <w:rsid w:val="6A7B3ED2"/>
    <w:rsid w:val="6B8148C3"/>
    <w:rsid w:val="6BE20961"/>
    <w:rsid w:val="6BE97F42"/>
    <w:rsid w:val="6CD02EB0"/>
    <w:rsid w:val="6D7101EF"/>
    <w:rsid w:val="6DAD11CC"/>
    <w:rsid w:val="6DDE33AA"/>
    <w:rsid w:val="6E14501E"/>
    <w:rsid w:val="6EA14B04"/>
    <w:rsid w:val="6F8A5598"/>
    <w:rsid w:val="70A97C9F"/>
    <w:rsid w:val="70F52EE5"/>
    <w:rsid w:val="719426FE"/>
    <w:rsid w:val="71AA1F21"/>
    <w:rsid w:val="71B379A4"/>
    <w:rsid w:val="71E76CD1"/>
    <w:rsid w:val="73816CB2"/>
    <w:rsid w:val="742064CB"/>
    <w:rsid w:val="74EC2851"/>
    <w:rsid w:val="75531C56"/>
    <w:rsid w:val="75705230"/>
    <w:rsid w:val="761A519B"/>
    <w:rsid w:val="7657019E"/>
    <w:rsid w:val="7718792D"/>
    <w:rsid w:val="77536BB7"/>
    <w:rsid w:val="77B43AFA"/>
    <w:rsid w:val="77D9530E"/>
    <w:rsid w:val="785250C1"/>
    <w:rsid w:val="7883527A"/>
    <w:rsid w:val="78AF42C1"/>
    <w:rsid w:val="78E421BD"/>
    <w:rsid w:val="791B54B2"/>
    <w:rsid w:val="7AF1471D"/>
    <w:rsid w:val="7B0363F4"/>
    <w:rsid w:val="7B71585E"/>
    <w:rsid w:val="7B863637"/>
    <w:rsid w:val="7BFF10BB"/>
    <w:rsid w:val="7C2D5C29"/>
    <w:rsid w:val="7C896BD7"/>
    <w:rsid w:val="7CB41EA6"/>
    <w:rsid w:val="7CE24C65"/>
    <w:rsid w:val="7D052701"/>
    <w:rsid w:val="7D7D673C"/>
    <w:rsid w:val="7D9046C1"/>
    <w:rsid w:val="7DFF53A3"/>
    <w:rsid w:val="7EFB0260"/>
    <w:rsid w:val="7F460DAF"/>
    <w:rsid w:val="7F9935D5"/>
    <w:rsid w:val="7FDD1714"/>
    <w:rsid w:val="7FFF78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3"/>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4"/>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17"/>
    <w:semiHidden/>
    <w:unhideWhenUsed/>
    <w:qFormat/>
    <w:uiPriority w:val="9"/>
    <w:pPr>
      <w:keepNext/>
      <w:keepLines/>
      <w:spacing w:before="280" w:after="290" w:line="376" w:lineRule="auto"/>
      <w:outlineLvl w:val="3"/>
    </w:pPr>
    <w:rPr>
      <w:rFonts w:eastAsia="仿宋_GB2312" w:asciiTheme="majorHAnsi" w:hAnsiTheme="majorHAnsi" w:cstheme="majorBidi"/>
      <w:bCs/>
      <w:sz w:val="32"/>
      <w:szCs w:val="28"/>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9"/>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rFonts w:cs="Times New Roman"/>
      <w:kern w:val="0"/>
      <w:sz w:val="24"/>
      <w:szCs w:val="24"/>
    </w:rPr>
  </w:style>
  <w:style w:type="table" w:styleId="10">
    <w:name w:val="Table Grid"/>
    <w:basedOn w:val="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
    <w:name w:val="标题 1 Char"/>
    <w:basedOn w:val="11"/>
    <w:link w:val="2"/>
    <w:qFormat/>
    <w:uiPriority w:val="9"/>
    <w:rPr>
      <w:b/>
      <w:bCs/>
      <w:kern w:val="44"/>
      <w:sz w:val="44"/>
      <w:szCs w:val="44"/>
    </w:rPr>
  </w:style>
  <w:style w:type="character" w:customStyle="1" w:styleId="13">
    <w:name w:val="标题 2 Char"/>
    <w:basedOn w:val="11"/>
    <w:link w:val="3"/>
    <w:qFormat/>
    <w:uiPriority w:val="9"/>
    <w:rPr>
      <w:rFonts w:asciiTheme="majorHAnsi" w:hAnsiTheme="majorHAnsi" w:eastAsiaTheme="majorEastAsia" w:cstheme="majorBidi"/>
      <w:b/>
      <w:bCs/>
      <w:sz w:val="32"/>
      <w:szCs w:val="32"/>
    </w:rPr>
  </w:style>
  <w:style w:type="character" w:customStyle="1" w:styleId="14">
    <w:name w:val="标题 3 Char"/>
    <w:basedOn w:val="11"/>
    <w:link w:val="4"/>
    <w:qFormat/>
    <w:uiPriority w:val="9"/>
    <w:rPr>
      <w:b/>
      <w:bCs/>
      <w:sz w:val="32"/>
      <w:szCs w:val="32"/>
    </w:rPr>
  </w:style>
  <w:style w:type="paragraph" w:styleId="15">
    <w:name w:val="List Paragraph"/>
    <w:basedOn w:val="1"/>
    <w:qFormat/>
    <w:uiPriority w:val="34"/>
    <w:pPr>
      <w:ind w:firstLine="420" w:firstLineChars="200"/>
    </w:pPr>
  </w:style>
  <w:style w:type="paragraph" w:customStyle="1" w:styleId="16">
    <w:name w:val="TOC Heading"/>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17">
    <w:name w:val="标题 4 Char"/>
    <w:basedOn w:val="11"/>
    <w:link w:val="5"/>
    <w:semiHidden/>
    <w:qFormat/>
    <w:uiPriority w:val="9"/>
    <w:rPr>
      <w:rFonts w:eastAsia="仿宋_GB2312" w:asciiTheme="majorHAnsi" w:hAnsiTheme="majorHAnsi" w:cstheme="majorBidi"/>
      <w:bCs/>
      <w:sz w:val="32"/>
      <w:szCs w:val="28"/>
    </w:rPr>
  </w:style>
  <w:style w:type="character" w:customStyle="1" w:styleId="18">
    <w:name w:val="页眉 Char"/>
    <w:basedOn w:val="11"/>
    <w:link w:val="7"/>
    <w:qFormat/>
    <w:uiPriority w:val="99"/>
    <w:rPr>
      <w:sz w:val="18"/>
      <w:szCs w:val="18"/>
    </w:rPr>
  </w:style>
  <w:style w:type="character" w:customStyle="1" w:styleId="19">
    <w:name w:val="页脚 Char"/>
    <w:basedOn w:val="11"/>
    <w:link w:val="6"/>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851</Words>
  <Characters>861</Characters>
  <Lines>5</Lines>
  <Paragraphs>1</Paragraphs>
  <TotalTime>0</TotalTime>
  <ScaleCrop>false</ScaleCrop>
  <LinksUpToDate>false</LinksUpToDate>
  <CharactersWithSpaces>932</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2022-06-16T01:27:00Z</dcterms:created>
  <dc:creator>YANZI</dc:creator>
  <cp:lastModifiedBy>Administrator</cp:lastModifiedBy>
  <cp:lastPrinted>2022-09-02T08:08:00Z</cp:lastPrinted>
  <dcterms:modified xsi:type="dcterms:W3CDTF">2022-09-13T08:01:19Z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B67619E8D7124072A11815BCA92BB48D</vt:lpwstr>
  </property>
</Properties>
</file>